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B" w:rsidRPr="000A7702" w:rsidRDefault="005D1FCB" w:rsidP="005D1FCB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Tahoma" w:hAnsi="Tahoma" w:cs="Tahoma"/>
          <w:sz w:val="26"/>
          <w:szCs w:val="26"/>
          <w:u w:val="single"/>
        </w:rPr>
      </w:pP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>MODIFICACIÓN DE LA PROGRAMACIÓN DIDÁCTICA</w:t>
      </w:r>
      <w:r w:rsidRPr="007363FA">
        <w:rPr>
          <w:rStyle w:val="apple-converted-space"/>
          <w:rFonts w:ascii="Tahoma" w:hAnsi="Tahoma" w:cs="Tahoma"/>
          <w:b/>
          <w:bCs/>
          <w:color w:val="0070C0"/>
          <w:sz w:val="26"/>
          <w:szCs w:val="26"/>
        </w:rPr>
        <w:t> </w:t>
      </w: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DE </w:t>
      </w:r>
      <w:r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3º de ESO  </w:t>
      </w:r>
      <w:r w:rsidRPr="006A145F">
        <w:rPr>
          <w:rStyle w:val="normaltextrunscxw36666169bcx0"/>
          <w:rFonts w:ascii="Tahoma" w:hAnsi="Tahoma" w:cs="Tahoma"/>
          <w:b/>
          <w:bCs/>
          <w:sz w:val="26"/>
          <w:szCs w:val="26"/>
          <w:highlight w:val="green"/>
          <w:u w:val="single"/>
        </w:rPr>
        <w:t>3º ESO B</w:t>
      </w:r>
    </w:p>
    <w:p w:rsidR="005D1FCB" w:rsidRPr="007363FA" w:rsidRDefault="005D1FCB" w:rsidP="005D1FCB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4"/>
          <w:szCs w:val="14"/>
        </w:rPr>
      </w:pPr>
    </w:p>
    <w:p w:rsidR="005D1FCB" w:rsidRPr="0073687D" w:rsidRDefault="005D1FCB" w:rsidP="005D1FCB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CENTRO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:</w:t>
      </w:r>
      <w:r w:rsidRPr="007363FA">
        <w:rPr>
          <w:rStyle w:val="apple-converted-space"/>
          <w:rFonts w:ascii="Tahoma" w:hAnsi="Tahoma" w:cs="Tahoma"/>
          <w:sz w:val="22"/>
          <w:szCs w:val="22"/>
        </w:rPr>
        <w:t> 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IES JIMENA MENÉNDEZ PIDAL. FUENLABRADA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 w:rsidRPr="000A7702">
        <w:rPr>
          <w:rStyle w:val="eopscxw36666169bcx0"/>
          <w:rFonts w:ascii="Tahoma" w:hAnsi="Tahoma" w:cs="Tahoma"/>
          <w:b/>
          <w:sz w:val="22"/>
          <w:szCs w:val="22"/>
        </w:rPr>
        <w:t>PROFESOR</w:t>
      </w:r>
      <w:r>
        <w:rPr>
          <w:rStyle w:val="eopscxw36666169bcx0"/>
          <w:rFonts w:ascii="Tahoma" w:hAnsi="Tahoma" w:cs="Tahoma"/>
          <w:b/>
          <w:sz w:val="22"/>
          <w:szCs w:val="22"/>
        </w:rPr>
        <w:t>:</w:t>
      </w:r>
      <w:r>
        <w:rPr>
          <w:rStyle w:val="eopscxw36666169bcx0"/>
          <w:rFonts w:ascii="Tahoma" w:hAnsi="Tahoma" w:cs="Tahoma"/>
          <w:sz w:val="22"/>
          <w:szCs w:val="22"/>
        </w:rPr>
        <w:t xml:space="preserve"> Luis Miguel Leo Arellano</w:t>
      </w:r>
    </w:p>
    <w:p w:rsidR="005D1FCB" w:rsidRPr="008211FF" w:rsidRDefault="005D1FCB" w:rsidP="005D1FCB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MATERIA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 xml:space="preserve">: </w:t>
      </w:r>
      <w:r>
        <w:rPr>
          <w:rStyle w:val="normaltextrunscxw36666169bcx0"/>
          <w:rFonts w:ascii="Tahoma" w:hAnsi="Tahoma" w:cs="Tahoma"/>
          <w:sz w:val="22"/>
          <w:szCs w:val="22"/>
        </w:rPr>
        <w:t>GEOGRAFÍA e HISTORIA 3º ESO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</w:p>
    <w:tbl>
      <w:tblPr>
        <w:tblW w:w="13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5"/>
        <w:gridCol w:w="2700"/>
        <w:gridCol w:w="3600"/>
      </w:tblGrid>
      <w:tr w:rsidR="005D1FCB" w:rsidRPr="008211FF" w:rsidTr="00102C0C">
        <w:trPr>
          <w:trHeight w:val="61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CRITERIOS de CALIFICACIÓN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507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subrayar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5 “Turismo: efectos y políticas turísticas” (página 182)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182)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y 2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183)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11/4/2020. Presencial. A través de correo electrónico si continuase la suspensión temporal.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El 30% de la nota final que correspondería al valor de la nota media de  las actividades realizadas durante el curso.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5D1FCB" w:rsidRPr="008211FF" w:rsidRDefault="005D1FCB" w:rsidP="00102C0C">
            <w:pPr>
              <w:pStyle w:val="paragraphscxw36666169bcx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415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subrayar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del epígrafe 6 “Las actividades comerciales” (página 184) el </w:t>
            </w:r>
            <w:proofErr w:type="spellStart"/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subepígrafe</w:t>
            </w:r>
            <w:proofErr w:type="spellEnd"/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6.1 “el comercio y sus elementos”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y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3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184).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D1FCB" w:rsidRPr="008211FF" w:rsidTr="00102C0C">
        <w:trPr>
          <w:trHeight w:val="42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subrayar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7 “El comercio interior” (página 186)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186) y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2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187).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1FCB" w:rsidRPr="008211FF" w:rsidTr="00102C0C">
        <w:trPr>
          <w:trHeight w:val="142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subrayar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8 “El comercio exterior” (página 188) y hacer la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ficha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sobre balanza comercial y de pagos.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1FCB" w:rsidRPr="008211FF" w:rsidTr="00102C0C">
        <w:trPr>
          <w:trHeight w:val="357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OBSERVACIONES</w:t>
            </w:r>
            <w:r w:rsidRPr="008211FF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115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Si la situación actual de suspensión de clases se prolongara más allá del mes de abril se valorará la entrega de las actividades un 30% de la nota media de las actividades realizadas a lo que se sumaría el 70% de la media de los exámenes ya realizados a lo largo del curso hasta el tema 6 incluido.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 xml:space="preserve">A </w:t>
            </w:r>
            <w:r w:rsidRPr="00B961DE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continuación, se incluye una ficha sobre la balanza de comercial y de pagos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 xml:space="preserve"> que corresponde con el epígrafe 7  “El comercio exterior”  </w:t>
            </w:r>
            <w:r w:rsidRPr="00B961DE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y una batería de actividades de repaso del tema que debéis rellenar en este Word.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 xml:space="preserve">Las </w:t>
            </w:r>
            <w:r w:rsidRPr="00B961DE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actividades del libro de texto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 xml:space="preserve"> debéis 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 xml:space="preserve">hacerlas </w:t>
            </w:r>
            <w:r w:rsidRPr="00B961DE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obligatoriamente en Word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.</w:t>
            </w:r>
          </w:p>
          <w:p w:rsidR="005D1FCB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211FF">
              <w:rPr>
                <w:rStyle w:val="normaltextrunscxw36666169bcx0"/>
                <w:rFonts w:ascii="Arial" w:hAnsi="Arial" w:cs="Arial"/>
                <w:b/>
                <w:i/>
              </w:rPr>
              <w:t>La fecha de entrega de las actividades responde al final del estado de alarma establecido por el gobierno de la nación.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 </w:t>
            </w:r>
          </w:p>
          <w:p w:rsidR="005D1FCB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>
              <w:rPr>
                <w:rStyle w:val="eopscxw36666169bcx0"/>
                <w:rFonts w:ascii="Arial" w:hAnsi="Arial" w:cs="Arial"/>
                <w:b/>
                <w:i/>
              </w:rPr>
              <w:t>♣El contenido es proporcional a lo que daríamos durante dos semanas de horas lectivas presenciales en la materia de Gª e Hª.</w:t>
            </w:r>
          </w:p>
          <w:p w:rsidR="005D1FCB" w:rsidRPr="00836294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 xml:space="preserve">Las </w:t>
            </w:r>
            <w:r w:rsidRPr="00B961DE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exposiciones orales quedan paradas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 xml:space="preserve"> hasta que volvamos a las aulas. Si no se pudieran realizar, el porcentaje de la calificación pasaría al apartado de las actividades.</w:t>
            </w:r>
          </w:p>
        </w:tc>
      </w:tr>
    </w:tbl>
    <w:p w:rsidR="005D1FCB" w:rsidRPr="000A7702" w:rsidRDefault="005D1FCB" w:rsidP="005D1FCB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Tahoma" w:hAnsi="Tahoma" w:cs="Tahoma"/>
          <w:sz w:val="26"/>
          <w:szCs w:val="26"/>
          <w:u w:val="single"/>
        </w:rPr>
      </w:pP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lastRenderedPageBreak/>
        <w:t>MODIFICACIÓN DE LA PROGRAMACIÓN DIDÁCTICA</w:t>
      </w:r>
      <w:r w:rsidRPr="007363FA">
        <w:rPr>
          <w:rStyle w:val="apple-converted-space"/>
          <w:rFonts w:ascii="Tahoma" w:hAnsi="Tahoma" w:cs="Tahoma"/>
          <w:b/>
          <w:bCs/>
          <w:color w:val="0070C0"/>
          <w:sz w:val="26"/>
          <w:szCs w:val="26"/>
        </w:rPr>
        <w:t> </w:t>
      </w: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DE </w:t>
      </w:r>
      <w:r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3º de ESO  </w:t>
      </w:r>
      <w:r w:rsidRPr="006A145F">
        <w:rPr>
          <w:rStyle w:val="normaltextrunscxw36666169bcx0"/>
          <w:rFonts w:ascii="Tahoma" w:hAnsi="Tahoma" w:cs="Tahoma"/>
          <w:b/>
          <w:bCs/>
          <w:sz w:val="26"/>
          <w:szCs w:val="26"/>
          <w:highlight w:val="green"/>
          <w:u w:val="single"/>
        </w:rPr>
        <w:t>3º ESO C y D)</w:t>
      </w:r>
    </w:p>
    <w:p w:rsidR="005D1FCB" w:rsidRPr="007363FA" w:rsidRDefault="005D1FCB" w:rsidP="005D1FCB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4"/>
          <w:szCs w:val="14"/>
        </w:rPr>
      </w:pPr>
    </w:p>
    <w:p w:rsidR="005D1FCB" w:rsidRPr="0073687D" w:rsidRDefault="005D1FCB" w:rsidP="005D1FCB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CENTRO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:</w:t>
      </w:r>
      <w:r w:rsidRPr="007363FA">
        <w:rPr>
          <w:rStyle w:val="apple-converted-space"/>
          <w:rFonts w:ascii="Tahoma" w:hAnsi="Tahoma" w:cs="Tahoma"/>
          <w:sz w:val="22"/>
          <w:szCs w:val="22"/>
        </w:rPr>
        <w:t> 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IES JIMENA MENÉNDEZ PIDAL. FUENLABRADA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 w:rsidRPr="000A7702">
        <w:rPr>
          <w:rStyle w:val="eopscxw36666169bcx0"/>
          <w:rFonts w:ascii="Tahoma" w:hAnsi="Tahoma" w:cs="Tahoma"/>
          <w:b/>
          <w:sz w:val="22"/>
          <w:szCs w:val="22"/>
        </w:rPr>
        <w:t>PROFESOR</w:t>
      </w:r>
      <w:r>
        <w:rPr>
          <w:rStyle w:val="eopscxw36666169bcx0"/>
          <w:rFonts w:ascii="Tahoma" w:hAnsi="Tahoma" w:cs="Tahoma"/>
          <w:b/>
          <w:sz w:val="22"/>
          <w:szCs w:val="22"/>
        </w:rPr>
        <w:t>:</w:t>
      </w:r>
      <w:r>
        <w:rPr>
          <w:rStyle w:val="eopscxw36666169bcx0"/>
          <w:rFonts w:ascii="Tahoma" w:hAnsi="Tahoma" w:cs="Tahoma"/>
          <w:sz w:val="22"/>
          <w:szCs w:val="22"/>
        </w:rPr>
        <w:t xml:space="preserve"> Luis Miguel Leo Arellano</w:t>
      </w:r>
    </w:p>
    <w:p w:rsidR="005D1FCB" w:rsidRPr="008211FF" w:rsidRDefault="005D1FCB" w:rsidP="005D1FCB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MATERIA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 xml:space="preserve">: </w:t>
      </w:r>
      <w:r>
        <w:rPr>
          <w:rStyle w:val="normaltextrunscxw36666169bcx0"/>
          <w:rFonts w:ascii="Tahoma" w:hAnsi="Tahoma" w:cs="Tahoma"/>
          <w:sz w:val="22"/>
          <w:szCs w:val="22"/>
        </w:rPr>
        <w:t>GEOGRAFÍA e HISTORIA 3º ESO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</w:p>
    <w:tbl>
      <w:tblPr>
        <w:tblW w:w="13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5"/>
        <w:gridCol w:w="2700"/>
        <w:gridCol w:w="3600"/>
      </w:tblGrid>
      <w:tr w:rsidR="005D1FCB" w:rsidRPr="008211FF" w:rsidTr="00102C0C">
        <w:trPr>
          <w:trHeight w:val="61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CRITERIOS de CALIFICACIÓN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507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subrayar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del epígrafe 6 “Las actividades comerciales” (página 184) el </w:t>
            </w:r>
            <w:proofErr w:type="spellStart"/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subepígrafe</w:t>
            </w:r>
            <w:proofErr w:type="spellEnd"/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6.1 “el comercio y sus elementos”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y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3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184).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11/4/2020. Presencial. A través de correo electrónico si continuase la suspensión temporal.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El 30% de la nota final que correspondería al valor de la nota media de  las actividades realizadas durante el curso.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5D1FCB" w:rsidRPr="008211FF" w:rsidRDefault="005D1FCB" w:rsidP="00102C0C">
            <w:pPr>
              <w:pStyle w:val="paragraphscxw36666169bcx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415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subrayar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7 “El comercio interior” (página 186)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186) y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2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187).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D1FCB" w:rsidRPr="008211FF" w:rsidTr="00102C0C">
        <w:trPr>
          <w:trHeight w:val="42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subrayar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8 “El comercio exterior” (página 188) y hacer la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ficha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sobre balanza comercial y de pagos.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1FCB" w:rsidRPr="008211FF" w:rsidTr="00102C0C">
        <w:trPr>
          <w:trHeight w:val="142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1FCB" w:rsidRPr="008211FF" w:rsidTr="00102C0C">
        <w:trPr>
          <w:trHeight w:val="357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OBSERVACIONES</w:t>
            </w:r>
            <w:r w:rsidRPr="008211FF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115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Si la situación actual de suspensión de clases se prolongara más allá del mes de abril se valorará la entrega de las actividades un 30% de la nota media de las actividades realizadas a lo que se sumaría el 70% de la media de los exámenes ya realizados a lo largo del curso hasta el tema 6 incluido.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</w:rPr>
            </w:pP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6A145F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A continuación, se incluye una ficha sobre la balanza de comercial y de pagos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 xml:space="preserve"> que corresponde con el epígrafe 7  “El comercio exterior”  </w:t>
            </w:r>
            <w:r w:rsidRPr="006A145F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y una batería de actividades de repaso del tema que debéis rellenar en este Word.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 xml:space="preserve">♣Las </w:t>
            </w:r>
            <w:r w:rsidRPr="006A145F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actividades del libro de texto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 xml:space="preserve"> debéis 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>hacerlas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 xml:space="preserve"> </w:t>
            </w:r>
            <w:r w:rsidRPr="006A145F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obligatoriamente en Word.</w:t>
            </w:r>
          </w:p>
          <w:p w:rsidR="005D1FCB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211FF">
              <w:rPr>
                <w:rStyle w:val="normaltextrunscxw36666169bcx0"/>
                <w:rFonts w:ascii="Arial" w:hAnsi="Arial" w:cs="Arial"/>
                <w:b/>
                <w:i/>
              </w:rPr>
              <w:t>La fecha de entrega de las actividades responde al final del estado de alarma establecido por el gobierno de la nación.</w:t>
            </w: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 </w:t>
            </w:r>
          </w:p>
          <w:p w:rsidR="005D1FCB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>
              <w:rPr>
                <w:rStyle w:val="eopscxw36666169bcx0"/>
                <w:rFonts w:ascii="Arial" w:hAnsi="Arial" w:cs="Arial"/>
                <w:b/>
                <w:i/>
              </w:rPr>
              <w:t>♣El contenido es proporcional a lo que daríamos durante dos semanas de horas lectivas presenciales en la materia de Gª e Hª.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 w:rsidRPr="008211FF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 xml:space="preserve">Las </w:t>
            </w:r>
            <w:r w:rsidRPr="006A145F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exposiciones orales</w:t>
            </w:r>
            <w:r w:rsidRPr="004A7A62">
              <w:rPr>
                <w:rStyle w:val="eopscxw36666169bcx0"/>
                <w:rFonts w:ascii="Arial" w:hAnsi="Arial" w:cs="Arial"/>
                <w:b/>
                <w:i/>
              </w:rPr>
              <w:t xml:space="preserve"> quedan </w:t>
            </w:r>
            <w:r w:rsidRPr="006A145F">
              <w:rPr>
                <w:rStyle w:val="eopscxw36666169bcx0"/>
                <w:rFonts w:ascii="Arial" w:hAnsi="Arial" w:cs="Arial"/>
                <w:b/>
                <w:i/>
                <w:highlight w:val="yellow"/>
              </w:rPr>
              <w:t>paradas</w:t>
            </w:r>
            <w:r w:rsidRPr="00836294">
              <w:rPr>
                <w:rStyle w:val="eopscxw36666169bcx0"/>
                <w:rFonts w:ascii="Arial" w:hAnsi="Arial" w:cs="Arial"/>
                <w:b/>
                <w:i/>
              </w:rPr>
              <w:t xml:space="preserve"> hasta que volvamos a las aulas. Si no se pudieran realizar, el porcentaje de la calificación pasaría al apartado de las actividades.</w:t>
            </w:r>
          </w:p>
        </w:tc>
      </w:tr>
    </w:tbl>
    <w:p w:rsidR="005D1FCB" w:rsidRDefault="005D1FCB" w:rsidP="005D1FCB">
      <w:pPr>
        <w:jc w:val="both"/>
        <w:rPr>
          <w:rFonts w:ascii="Verdana" w:hAnsi="Verdana"/>
          <w:b/>
          <w:sz w:val="28"/>
          <w:szCs w:val="28"/>
          <w:u w:val="single"/>
        </w:rPr>
        <w:sectPr w:rsidR="005D1FCB" w:rsidSect="008211F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6442C" w:rsidRPr="005D1FCB" w:rsidRDefault="0076442C" w:rsidP="005D1FCB"/>
    <w:sectPr w:rsidR="0076442C" w:rsidRPr="005D1FCB" w:rsidSect="005D1F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FCB"/>
    <w:rsid w:val="005D1FCB"/>
    <w:rsid w:val="0076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D1FCB"/>
    <w:rPr>
      <w:i/>
      <w:iCs/>
    </w:rPr>
  </w:style>
  <w:style w:type="paragraph" w:customStyle="1" w:styleId="paragraphscxw36666169bcx0">
    <w:name w:val="paragraph scxw36666169 bcx0"/>
    <w:basedOn w:val="Normal"/>
    <w:rsid w:val="005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5D1FCB"/>
  </w:style>
  <w:style w:type="character" w:customStyle="1" w:styleId="apple-converted-space">
    <w:name w:val="apple-converted-space"/>
    <w:basedOn w:val="Fuentedeprrafopredeter"/>
    <w:rsid w:val="005D1FCB"/>
  </w:style>
  <w:style w:type="character" w:customStyle="1" w:styleId="eopscxw36666169bcx0">
    <w:name w:val="eop scxw36666169 bcx0"/>
    <w:basedOn w:val="Fuentedeprrafopredeter"/>
    <w:rsid w:val="005D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3510</Characters>
  <Application>Microsoft Office Word</Application>
  <DocSecurity>0</DocSecurity>
  <Lines>29</Lines>
  <Paragraphs>8</Paragraphs>
  <ScaleCrop>false</ScaleCrop>
  <Company> 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2020-03-26T11:56:00Z</dcterms:created>
  <dcterms:modified xsi:type="dcterms:W3CDTF">2020-03-26T12:01:00Z</dcterms:modified>
</cp:coreProperties>
</file>